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mbria" w:hAnsi="Cambria"/>
          <w:b/>
          <w:color w:val="1F3864"/>
          <w:sz w:val="44"/>
        </w:rPr>
        <w:t>Selling Your Business: A Plain-English Glossary</w:t>
      </w:r>
    </w:p>
    <w:p>
      <w:pPr>
        <w:spacing w:before="0" w:after="200"/>
      </w:pPr>
      <w:r>
        <w:rPr>
          <w:i/>
          <w:color w:val="8A6D1E"/>
          <w:sz w:val="24"/>
        </w:rPr>
        <w:t>The terms, acronyms, and lingo every owner should know — explained simply.</w:t>
      </w:r>
    </w:p>
    <w:tbl>
      <w:tblPr>
        <w:tblW w:type="auto" w:w="0"/>
        <w:tblLayout w:type="autofit"/>
        <w:tblLook w:firstColumn="1" w:firstRow="1" w:lastColumn="0" w:lastRow="0" w:noHBand="0" w:noVBand="1" w:val="04A0"/>
      </w:tblPr>
      <w:tblGrid>
        <w:gridCol w:w="9648"/>
      </w:tblGrid>
      <w:tr>
        <w:tc>
          <w:tcPr>
            <w:tcW w:type="dxa" w:w="9648"/>
            <w:shd w:val="clear" w:fill="F2F4F8"/>
            <w:tcBorders>
              <w:top w:val="single" w:sz="6" w:space="0" w:color="E2E6EC"/>
              <w:left w:val="single" w:sz="18" w:space="0" w:color="B08D2B"/>
              <w:bottom w:val="single" w:sz="6" w:space="0" w:color="E2E6EC"/>
              <w:right w:val="single" w:sz="6" w:space="0" w:color="E2E6EC"/>
            </w:tcBorders>
          </w:tcPr>
          <w:p>
            <w:pPr>
              <w:spacing w:before="40" w:after="60"/>
            </w:pPr>
            <w:r>
              <w:rPr>
                <w:b/>
                <w:color w:val="1F3864"/>
                <w:sz w:val="21"/>
                <w:spacing w:val="30"/>
              </w:rPr>
              <w:t>START HERE</w:t>
            </w:r>
          </w:p>
          <w:p>
            <w:pPr>
              <w:spacing w:before="0" w:after="80" w:line="264" w:lineRule="auto"/>
            </w:pPr>
            <w:r>
              <w:rPr>
                <w:sz w:val="21"/>
              </w:rPr>
              <w:t>When you sell your business, a buyer is really paying for your profit times a number — called the “multiple.” A higher number means a higher price, and that number goes up as your business looks less risky and easier for someone new to take over. Everything below is just the vocabulary around that one idea. You don’t need to memorize it — keep this handy and look terms up as they come up. And when something isn’t clear, just ask us.</w:t>
            </w:r>
          </w:p>
        </w:tc>
      </w:tr>
    </w:tbl>
    <w:p/>
    <w:p>
      <w:pPr>
        <w:spacing w:before="240" w:after="80"/>
      </w:pPr>
      <w:r>
        <w:rPr>
          <w:rFonts w:ascii="Cambria" w:hAnsi="Cambria"/>
          <w:b/>
          <w:color w:val="8A6D1E"/>
          <w:sz w:val="22"/>
          <w:spacing w:val="30"/>
        </w:rPr>
        <w:t>EARNINGS &amp; FINANCIALS</w:t>
      </w:r>
    </w:p>
    <w:p>
      <w:pPr>
        <w:spacing w:before="60" w:after="60" w:line="252" w:lineRule="auto"/>
      </w:pPr>
      <w:r>
        <w:rPr>
          <w:b/>
          <w:color w:val="1F3864"/>
          <w:sz w:val="22"/>
        </w:rPr>
        <w:t>SDE (Seller’s Discretionary Earnings)</w:t>
      </w:r>
      <w:r>
        <w:rPr>
          <w:sz w:val="22"/>
        </w:rPr>
        <w:t xml:space="preserve"> — your profit plus your salary, perks, and one-time costs added back — “what the business earns for one hands-on owner.”</w:t>
      </w:r>
    </w:p>
    <w:p>
      <w:pPr>
        <w:spacing w:before="0" w:after="120" w:line="252" w:lineRule="auto"/>
        <w:ind w:left="280"/>
      </w:pPr>
      <w:r>
        <w:rPr>
          <w:b/>
          <w:i/>
          <w:color w:val="8A6D1E"/>
          <w:sz w:val="20"/>
        </w:rPr>
        <w:t xml:space="preserve">Example: </w:t>
      </w:r>
      <w:r>
        <w:rPr>
          <w:i/>
          <w:color w:val="5A5A5A"/>
          <w:sz w:val="20"/>
        </w:rPr>
        <w:t>Your business nets $150,000 and you pay yourself a $120,000 salary. SDE ≈ $270,000 (your salary is added back).</w:t>
      </w:r>
    </w:p>
    <w:p>
      <w:pPr>
        <w:spacing w:before="60" w:after="60" w:line="252" w:lineRule="auto"/>
      </w:pPr>
      <w:r>
        <w:rPr>
          <w:b/>
          <w:color w:val="1F3864"/>
          <w:sz w:val="22"/>
        </w:rPr>
        <w:t>EBITDA</w:t>
      </w:r>
      <w:r>
        <w:rPr>
          <w:sz w:val="22"/>
        </w:rPr>
        <w:t xml:space="preserve"> — Earnings Before Interest, Taxes, Depreciation &amp; Amortization — the profit measure buyers use for larger businesses. Unlike SDE, it does not add your salary back (it assumes a paid manager runs it).</w:t>
      </w:r>
    </w:p>
    <w:p>
      <w:pPr>
        <w:spacing w:before="0" w:after="120" w:line="252" w:lineRule="auto"/>
        <w:ind w:left="280"/>
      </w:pPr>
      <w:r>
        <w:rPr>
          <w:b/>
          <w:i/>
          <w:color w:val="8A6D1E"/>
          <w:sz w:val="20"/>
        </w:rPr>
        <w:t xml:space="preserve">Example: </w:t>
      </w:r>
      <w:r>
        <w:rPr>
          <w:i/>
          <w:color w:val="5A5A5A"/>
          <w:sz w:val="20"/>
        </w:rPr>
        <w:t>That same business, counting a manager’s pay as a cost, has EBITDA ≈ $150,000. Same business, two different numbers — which is why their multiples differ.</w:t>
      </w:r>
    </w:p>
    <w:p>
      <w:pPr>
        <w:spacing w:before="60" w:after="60" w:line="252" w:lineRule="auto"/>
      </w:pPr>
      <w:r>
        <w:rPr>
          <w:b/>
          <w:color w:val="1F3864"/>
          <w:sz w:val="22"/>
        </w:rPr>
        <w:t>Add-backs</w:t>
      </w:r>
      <w:r>
        <w:rPr>
          <w:sz w:val="22"/>
        </w:rPr>
        <w:t xml:space="preserve"> — personal or one-time expenses added back to profit to show the business’s true earning power.</w:t>
      </w:r>
    </w:p>
    <w:p>
      <w:pPr>
        <w:spacing w:before="0" w:after="120" w:line="252" w:lineRule="auto"/>
        <w:ind w:left="280"/>
      </w:pPr>
      <w:r>
        <w:rPr>
          <w:b/>
          <w:i/>
          <w:color w:val="8A6D1E"/>
          <w:sz w:val="20"/>
        </w:rPr>
        <w:t xml:space="preserve">Example: </w:t>
      </w:r>
      <w:r>
        <w:rPr>
          <w:i/>
          <w:color w:val="5A5A5A"/>
          <w:sz w:val="20"/>
        </w:rPr>
        <w:t>A $15,000 personal vehicle and a $10,000 one-time legal bill get “added back,” because a new owner wouldn’t carry them.</w:t>
      </w:r>
    </w:p>
    <w:p>
      <w:pPr>
        <w:spacing w:before="60" w:after="60" w:line="252" w:lineRule="auto"/>
      </w:pPr>
      <w:r>
        <w:rPr>
          <w:b/>
          <w:color w:val="1F3864"/>
          <w:sz w:val="22"/>
        </w:rPr>
        <w:t>Normalized / Recast Financials</w:t>
      </w:r>
      <w:r>
        <w:rPr>
          <w:sz w:val="22"/>
        </w:rPr>
        <w:t xml:space="preserve"> — your numbers adjusted (after add-backs) to reflect true, ongoing earnings.</w:t>
      </w:r>
    </w:p>
    <w:p>
      <w:pPr>
        <w:spacing w:before="60" w:after="60" w:line="252" w:lineRule="auto"/>
      </w:pPr>
      <w:r>
        <w:rPr>
          <w:b/>
          <w:color w:val="1F3864"/>
          <w:sz w:val="22"/>
        </w:rPr>
        <w:t>Working Capital</w:t>
      </w:r>
      <w:r>
        <w:rPr>
          <w:sz w:val="22"/>
        </w:rPr>
        <w:t xml:space="preserve"> — the everyday cash a business needs to keep running — unpaid invoices plus inventory, minus the bills you owe.</w:t>
      </w:r>
    </w:p>
    <w:p>
      <w:pPr>
        <w:spacing w:before="0" w:after="120" w:line="252" w:lineRule="auto"/>
        <w:ind w:left="280"/>
      </w:pPr>
      <w:r>
        <w:rPr>
          <w:b/>
          <w:i/>
          <w:color w:val="8A6D1E"/>
          <w:sz w:val="20"/>
        </w:rPr>
        <w:t xml:space="preserve">In plain terms: </w:t>
      </w:r>
      <w:r>
        <w:rPr>
          <w:i/>
          <w:color w:val="5A5A5A"/>
          <w:sz w:val="20"/>
        </w:rPr>
        <w:t>Think of it as enough gas left in the tank so the new owner can operate day one without adding cash.</w:t>
      </w:r>
    </w:p>
    <w:p>
      <w:pPr>
        <w:spacing w:before="60" w:after="60" w:line="252" w:lineRule="auto"/>
      </w:pPr>
      <w:r>
        <w:rPr>
          <w:b/>
          <w:color w:val="1F3864"/>
          <w:sz w:val="22"/>
        </w:rPr>
        <w:t>Recurring Revenue</w:t>
      </w:r>
      <w:r>
        <w:rPr>
          <w:sz w:val="22"/>
        </w:rPr>
        <w:t xml:space="preserve"> — predictable, repeat income (contracts, subscriptions) that buyers pay a premium for.</w:t>
      </w:r>
    </w:p>
    <w:p>
      <w:pPr>
        <w:spacing w:before="60" w:after="60" w:line="252" w:lineRule="auto"/>
      </w:pPr>
      <w:r>
        <w:rPr>
          <w:b/>
          <w:color w:val="1F3864"/>
          <w:sz w:val="22"/>
        </w:rPr>
        <w:t>TTM / LTM</w:t>
      </w:r>
      <w:r>
        <w:rPr>
          <w:sz w:val="22"/>
        </w:rPr>
        <w:t xml:space="preserve"> — Trailing (Last) Twelve Months — the most recent 12 months of results.</w:t>
      </w:r>
    </w:p>
    <w:p>
      <w:pPr>
        <w:spacing w:before="60" w:after="60" w:line="252" w:lineRule="auto"/>
      </w:pPr>
      <w:r>
        <w:rPr>
          <w:b/>
          <w:color w:val="1F3864"/>
          <w:sz w:val="22"/>
        </w:rPr>
        <w:t>Quality of Earnings (QoE)</w:t>
      </w:r>
      <w:r>
        <w:rPr>
          <w:sz w:val="22"/>
        </w:rPr>
        <w:t xml:space="preserve"> — a buyer’s deep audit to verify your profit is real and sustainable.</w:t>
      </w:r>
    </w:p>
    <w:p>
      <w:pPr>
        <w:spacing w:before="240" w:after="80"/>
      </w:pPr>
      <w:r>
        <w:rPr>
          <w:rFonts w:ascii="Cambria" w:hAnsi="Cambria"/>
          <w:b/>
          <w:color w:val="8A6D1E"/>
          <w:sz w:val="22"/>
          <w:spacing w:val="30"/>
        </w:rPr>
        <w:t>VALUATION</w:t>
      </w:r>
    </w:p>
    <w:p>
      <w:pPr>
        <w:spacing w:before="60" w:after="60" w:line="252" w:lineRule="auto"/>
      </w:pPr>
      <w:r>
        <w:rPr>
          <w:b/>
          <w:color w:val="1F3864"/>
          <w:sz w:val="22"/>
        </w:rPr>
        <w:t>Multiple</w:t>
      </w:r>
      <w:r>
        <w:rPr>
          <w:sz w:val="22"/>
        </w:rPr>
        <w:t xml:space="preserve"> — the number your earnings are multiplied by to estimate value.</w:t>
      </w:r>
    </w:p>
    <w:p>
      <w:pPr>
        <w:spacing w:before="0" w:after="120" w:line="252" w:lineRule="auto"/>
        <w:ind w:left="280"/>
      </w:pPr>
      <w:r>
        <w:rPr>
          <w:b/>
          <w:i/>
          <w:color w:val="8A6D1E"/>
          <w:sz w:val="20"/>
        </w:rPr>
        <w:t xml:space="preserve">Example: </w:t>
      </w:r>
      <w:r>
        <w:rPr>
          <w:i/>
          <w:color w:val="5A5A5A"/>
          <w:sz w:val="20"/>
        </w:rPr>
        <w:t>$300,000 SDE × a 3x multiple = $900,000 estimated value.</w:t>
      </w:r>
    </w:p>
    <w:p>
      <w:pPr>
        <w:spacing w:before="60" w:after="60" w:line="252" w:lineRule="auto"/>
      </w:pPr>
      <w:r>
        <w:rPr>
          <w:b/>
          <w:color w:val="1F3864"/>
          <w:sz w:val="22"/>
        </w:rPr>
        <w:t>Enterprise Value vs. Equity Value</w:t>
      </w:r>
      <w:r>
        <w:rPr>
          <w:sz w:val="22"/>
        </w:rPr>
        <w:t xml:space="preserve"> — enterprise value is what the whole business is worth; equity value is what you actually keep after paying off debt.</w:t>
      </w:r>
    </w:p>
    <w:p>
      <w:pPr>
        <w:spacing w:before="0" w:after="120" w:line="252" w:lineRule="auto"/>
        <w:ind w:left="280"/>
      </w:pPr>
      <w:r>
        <w:rPr>
          <w:b/>
          <w:i/>
          <w:color w:val="8A6D1E"/>
          <w:sz w:val="20"/>
        </w:rPr>
        <w:t xml:space="preserve">Example: </w:t>
      </w:r>
      <w:r>
        <w:rPr>
          <w:i/>
          <w:color w:val="5A5A5A"/>
          <w:sz w:val="20"/>
        </w:rPr>
        <w:t>Your business sells for $2,000,000, but you still owe $400,000 on a loan — so your equity value is $1,600,000 (before taxes and fees).</w:t>
      </w:r>
    </w:p>
    <w:p>
      <w:pPr>
        <w:spacing w:before="60" w:after="60" w:line="252" w:lineRule="auto"/>
      </w:pPr>
      <w:r>
        <w:rPr>
          <w:b/>
          <w:color w:val="1F3864"/>
          <w:sz w:val="22"/>
        </w:rPr>
        <w:t>Goodwill</w:t>
      </w:r>
      <w:r>
        <w:rPr>
          <w:sz w:val="22"/>
        </w:rPr>
        <w:t xml:space="preserve"> — value beyond physical assets: brand, reputation, and customer relationships.</w:t>
      </w:r>
    </w:p>
    <w:p>
      <w:pPr>
        <w:spacing w:before="60" w:after="60" w:line="252" w:lineRule="auto"/>
      </w:pPr>
      <w:r>
        <w:rPr>
          <w:b/>
          <w:color w:val="1F3864"/>
          <w:sz w:val="22"/>
        </w:rPr>
        <w:t>Fair Market Value</w:t>
      </w:r>
      <w:r>
        <w:rPr>
          <w:sz w:val="22"/>
        </w:rPr>
        <w:t xml:space="preserve"> — what a willing buyer and seller would agree to, with neither under pressure.</w:t>
      </w:r>
    </w:p>
    <w:p>
      <w:pPr>
        <w:spacing w:before="60" w:after="60" w:line="252" w:lineRule="auto"/>
      </w:pPr>
      <w:r>
        <w:rPr>
          <w:b/>
          <w:color w:val="1F3864"/>
          <w:sz w:val="22"/>
        </w:rPr>
        <w:t>Comps (Comparables)</w:t>
      </w:r>
      <w:r>
        <w:rPr>
          <w:sz w:val="22"/>
        </w:rPr>
        <w:t xml:space="preserve"> — recent sales of similar businesses, used as benchmarks.</w:t>
      </w:r>
    </w:p>
    <w:p>
      <w:pPr>
        <w:spacing w:before="240" w:after="80"/>
      </w:pPr>
      <w:r>
        <w:rPr>
          <w:rFonts w:ascii="Cambria" w:hAnsi="Cambria"/>
          <w:b/>
          <w:color w:val="8A6D1E"/>
          <w:sz w:val="22"/>
          <w:spacing w:val="30"/>
        </w:rPr>
        <w:t>THE DEAL</w:t>
      </w:r>
    </w:p>
    <w:p>
      <w:pPr>
        <w:spacing w:before="60" w:after="60" w:line="252" w:lineRule="auto"/>
      </w:pPr>
      <w:r>
        <w:rPr>
          <w:b/>
          <w:color w:val="1F3864"/>
          <w:sz w:val="22"/>
        </w:rPr>
        <w:t>NDA / Confidentiality Agreement</w:t>
      </w:r>
      <w:r>
        <w:rPr>
          <w:sz w:val="22"/>
        </w:rPr>
        <w:t xml:space="preserve"> — protects your information when a buyer starts looking.</w:t>
      </w:r>
    </w:p>
    <w:p>
      <w:pPr>
        <w:spacing w:before="60" w:after="60" w:line="252" w:lineRule="auto"/>
      </w:pPr>
      <w:r>
        <w:rPr>
          <w:b/>
          <w:color w:val="1F3864"/>
          <w:sz w:val="22"/>
        </w:rPr>
        <w:t>CIM (Confidential Information Memorandum)</w:t>
      </w:r>
      <w:r>
        <w:rPr>
          <w:sz w:val="22"/>
        </w:rPr>
        <w:t xml:space="preserve"> — the polished document that presents your business to serious buyers — think of it as the sales brochure for your company.</w:t>
      </w:r>
    </w:p>
    <w:p>
      <w:pPr>
        <w:spacing w:before="60" w:after="60" w:line="252" w:lineRule="auto"/>
      </w:pPr>
      <w:r>
        <w:rPr>
          <w:b/>
          <w:color w:val="1F3864"/>
          <w:sz w:val="22"/>
        </w:rPr>
        <w:t>LOI (Letter of Intent)</w:t>
      </w:r>
      <w:r>
        <w:rPr>
          <w:sz w:val="22"/>
        </w:rPr>
        <w:t xml:space="preserve"> — a mostly non-binding outline of price and terms, agreed before the full contract.</w:t>
      </w:r>
    </w:p>
    <w:p>
      <w:pPr>
        <w:spacing w:before="60" w:after="60" w:line="252" w:lineRule="auto"/>
      </w:pPr>
      <w:r>
        <w:rPr>
          <w:b/>
          <w:color w:val="1F3864"/>
          <w:sz w:val="22"/>
        </w:rPr>
        <w:t>Due Diligence</w:t>
      </w:r>
      <w:r>
        <w:rPr>
          <w:sz w:val="22"/>
        </w:rPr>
        <w:t xml:space="preserve"> — the buyer’s verification process — they confirm everything you’ve claimed.</w:t>
      </w:r>
    </w:p>
    <w:p>
      <w:pPr>
        <w:spacing w:before="60" w:after="60" w:line="252" w:lineRule="auto"/>
      </w:pPr>
      <w:r>
        <w:rPr>
          <w:b/>
          <w:color w:val="1F3864"/>
          <w:sz w:val="22"/>
        </w:rPr>
        <w:t>Data Room</w:t>
      </w:r>
      <w:r>
        <w:rPr>
          <w:sz w:val="22"/>
        </w:rPr>
        <w:t xml:space="preserve"> — a secure online folder where you share documents with serious buyers during due diligence.</w:t>
      </w:r>
    </w:p>
    <w:p>
      <w:pPr>
        <w:spacing w:before="60" w:after="60" w:line="252" w:lineRule="auto"/>
      </w:pPr>
      <w:r>
        <w:rPr>
          <w:b/>
          <w:color w:val="1F3864"/>
          <w:sz w:val="22"/>
        </w:rPr>
        <w:t>APA / SPA</w:t>
      </w:r>
      <w:r>
        <w:rPr>
          <w:sz w:val="22"/>
        </w:rPr>
        <w:t xml:space="preserve"> — Asset Purchase Agreement or Stock Purchase Agreement — the binding contract that closes the sale.</w:t>
      </w:r>
    </w:p>
    <w:p>
      <w:pPr>
        <w:spacing w:before="60" w:after="60" w:line="252" w:lineRule="auto"/>
      </w:pPr>
      <w:r>
        <w:rPr>
          <w:b/>
          <w:color w:val="1F3864"/>
          <w:sz w:val="22"/>
        </w:rPr>
        <w:t>Asset Sale vs. Stock Sale</w:t>
      </w:r>
      <w:r>
        <w:rPr>
          <w:sz w:val="22"/>
        </w:rPr>
        <w:t xml:space="preserve"> — selling the business’s assets versus selling the legal entity itself (big tax implications for both sides).</w:t>
      </w:r>
    </w:p>
    <w:p>
      <w:pPr>
        <w:spacing w:before="0" w:after="120" w:line="252" w:lineRule="auto"/>
        <w:ind w:left="280"/>
      </w:pPr>
      <w:r>
        <w:rPr>
          <w:b/>
          <w:i/>
          <w:color w:val="8A6D1E"/>
          <w:sz w:val="20"/>
        </w:rPr>
        <w:t xml:space="preserve">Example: </w:t>
      </w:r>
      <w:r>
        <w:rPr>
          <w:i/>
          <w:color w:val="5A5A5A"/>
          <w:sz w:val="20"/>
        </w:rPr>
        <w:t>In an asset sale the buyer takes your equipment, name, and customers but not the legal company; in a stock sale they buy the company itself, history and all.</w:t>
      </w:r>
    </w:p>
    <w:p>
      <w:pPr>
        <w:spacing w:before="60" w:after="60" w:line="252" w:lineRule="auto"/>
      </w:pPr>
      <w:r>
        <w:rPr>
          <w:b/>
          <w:color w:val="1F3864"/>
          <w:sz w:val="22"/>
        </w:rPr>
        <w:t>Deal Structure</w:t>
      </w:r>
      <w:r>
        <w:rPr>
          <w:sz w:val="22"/>
        </w:rPr>
        <w:t xml:space="preserve"> — how the deal is put together — how much cash up front, how much seller financing, whether there’s an earnout, and so on.</w:t>
      </w:r>
    </w:p>
    <w:p>
      <w:pPr>
        <w:spacing w:before="60" w:after="60" w:line="252" w:lineRule="auto"/>
      </w:pPr>
      <w:r>
        <w:rPr>
          <w:b/>
          <w:color w:val="1F3864"/>
          <w:sz w:val="22"/>
        </w:rPr>
        <w:t>Earnout</w:t>
      </w:r>
      <w:r>
        <w:rPr>
          <w:sz w:val="22"/>
        </w:rPr>
        <w:t xml:space="preserve"> — part of the price paid later, only if the business hits agreed targets.</w:t>
      </w:r>
    </w:p>
    <w:p>
      <w:pPr>
        <w:spacing w:before="0" w:after="120" w:line="252" w:lineRule="auto"/>
        <w:ind w:left="280"/>
      </w:pPr>
      <w:r>
        <w:rPr>
          <w:b/>
          <w:i/>
          <w:color w:val="8A6D1E"/>
          <w:sz w:val="20"/>
        </w:rPr>
        <w:t xml:space="preserve">Example: </w:t>
      </w:r>
      <w:r>
        <w:rPr>
          <w:i/>
          <w:color w:val="5A5A5A"/>
          <w:sz w:val="20"/>
        </w:rPr>
        <w:t>A buyer offers $1,000,000: $800,000 at closing, plus $200,000 after a year if sales hold above a set level.</w:t>
      </w:r>
    </w:p>
    <w:p>
      <w:pPr>
        <w:spacing w:before="60" w:after="60" w:line="252" w:lineRule="auto"/>
      </w:pPr>
      <w:r>
        <w:rPr>
          <w:b/>
          <w:color w:val="1F3864"/>
          <w:sz w:val="22"/>
        </w:rPr>
        <w:t>Seller Financing / Seller Note</w:t>
      </w:r>
      <w:r>
        <w:rPr>
          <w:sz w:val="22"/>
        </w:rPr>
        <w:t xml:space="preserve"> — you lend the buyer part of the purchase price, paid back over time with interest.</w:t>
      </w:r>
    </w:p>
    <w:p>
      <w:pPr>
        <w:spacing w:before="0" w:after="120" w:line="252" w:lineRule="auto"/>
        <w:ind w:left="280"/>
      </w:pPr>
      <w:r>
        <w:rPr>
          <w:b/>
          <w:i/>
          <w:color w:val="8A6D1E"/>
          <w:sz w:val="20"/>
        </w:rPr>
        <w:t xml:space="preserve">Example: </w:t>
      </w:r>
      <w:r>
        <w:rPr>
          <w:i/>
          <w:color w:val="5A5A5A"/>
          <w:sz w:val="20"/>
        </w:rPr>
        <w:t>On a $1,000,000 sale, you might carry a $200,000 note the buyer repays over five years.</w:t>
      </w:r>
    </w:p>
    <w:p>
      <w:pPr>
        <w:spacing w:before="60" w:after="60" w:line="252" w:lineRule="auto"/>
      </w:pPr>
      <w:r>
        <w:rPr>
          <w:b/>
          <w:color w:val="1F3864"/>
          <w:sz w:val="22"/>
        </w:rPr>
        <w:t>Escrow / Holdback</w:t>
      </w:r>
      <w:r>
        <w:rPr>
          <w:sz w:val="22"/>
        </w:rPr>
        <w:t xml:space="preserve"> — money set aside at closing to cover any problems that surface afterward.</w:t>
      </w:r>
    </w:p>
    <w:p>
      <w:pPr>
        <w:spacing w:before="0" w:after="120" w:line="252" w:lineRule="auto"/>
        <w:ind w:left="280"/>
      </w:pPr>
      <w:r>
        <w:rPr>
          <w:b/>
          <w:i/>
          <w:color w:val="8A6D1E"/>
          <w:sz w:val="20"/>
        </w:rPr>
        <w:t xml:space="preserve">Example: </w:t>
      </w:r>
      <w:r>
        <w:rPr>
          <w:i/>
          <w:color w:val="5A5A5A"/>
          <w:sz w:val="20"/>
        </w:rPr>
        <w:t>$100,000 of your proceeds is held for a year in case an undisclosed issue comes up.</w:t>
      </w:r>
    </w:p>
    <w:p>
      <w:pPr>
        <w:spacing w:before="60" w:after="60" w:line="252" w:lineRule="auto"/>
      </w:pPr>
      <w:r>
        <w:rPr>
          <w:b/>
          <w:color w:val="1F3864"/>
          <w:sz w:val="22"/>
        </w:rPr>
        <w:t>Working Capital Peg</w:t>
      </w:r>
      <w:r>
        <w:rPr>
          <w:sz w:val="22"/>
        </w:rPr>
        <w:t xml:space="preserve"> — the agreed “normal” amount of working capital that must be left in the business at closing.</w:t>
      </w:r>
    </w:p>
    <w:p>
      <w:pPr>
        <w:spacing w:before="60" w:after="60" w:line="252" w:lineRule="auto"/>
      </w:pPr>
      <w:r>
        <w:rPr>
          <w:b/>
          <w:color w:val="1F3864"/>
          <w:sz w:val="22"/>
        </w:rPr>
        <w:t>Reps &amp; Warranties</w:t>
      </w:r>
      <w:r>
        <w:rPr>
          <w:sz w:val="22"/>
        </w:rPr>
        <w:t xml:space="preserve"> — your formal promises about the true state of the business.</w:t>
      </w:r>
    </w:p>
    <w:p>
      <w:pPr>
        <w:spacing w:before="60" w:after="60" w:line="252" w:lineRule="auto"/>
      </w:pPr>
      <w:r>
        <w:rPr>
          <w:b/>
          <w:color w:val="1F3864"/>
          <w:sz w:val="22"/>
        </w:rPr>
        <w:t>Indemnification</w:t>
      </w:r>
      <w:r>
        <w:rPr>
          <w:sz w:val="22"/>
        </w:rPr>
        <w:t xml:space="preserve"> — who pays if one of those promises turns out to be wrong.</w:t>
      </w:r>
    </w:p>
    <w:p>
      <w:pPr>
        <w:spacing w:before="60" w:after="60" w:line="252" w:lineRule="auto"/>
      </w:pPr>
      <w:r>
        <w:rPr>
          <w:b/>
          <w:color w:val="1F3864"/>
          <w:sz w:val="22"/>
        </w:rPr>
        <w:t>Non-Compete</w:t>
      </w:r>
      <w:r>
        <w:rPr>
          <w:sz w:val="22"/>
        </w:rPr>
        <w:t xml:space="preserve"> — your agreement not to start a competing business for a set time and area.</w:t>
      </w:r>
    </w:p>
    <w:p>
      <w:pPr>
        <w:spacing w:before="60" w:after="60" w:line="252" w:lineRule="auto"/>
      </w:pPr>
      <w:r>
        <w:rPr>
          <w:b/>
          <w:color w:val="1F3864"/>
          <w:sz w:val="22"/>
        </w:rPr>
        <w:t>Transition / Training Period</w:t>
      </w:r>
      <w:r>
        <w:rPr>
          <w:sz w:val="22"/>
        </w:rPr>
        <w:t xml:space="preserve"> — the time you stay on after the sale to hand things off to the new owner.</w:t>
      </w:r>
    </w:p>
    <w:p>
      <w:pPr>
        <w:spacing w:before="60" w:after="60" w:line="252" w:lineRule="auto"/>
      </w:pPr>
      <w:r>
        <w:rPr>
          <w:b/>
          <w:color w:val="1F3864"/>
          <w:sz w:val="22"/>
        </w:rPr>
        <w:t>Net Proceeds</w:t>
      </w:r>
      <w:r>
        <w:rPr>
          <w:sz w:val="22"/>
        </w:rPr>
        <w:t xml:space="preserve"> — what you actually walk away with after debt, fees, and taxes.</w:t>
      </w:r>
    </w:p>
    <w:p>
      <w:pPr>
        <w:spacing w:before="0" w:after="120" w:line="252" w:lineRule="auto"/>
        <w:ind w:left="280"/>
      </w:pPr>
      <w:r>
        <w:rPr>
          <w:b/>
          <w:i/>
          <w:color w:val="8A6D1E"/>
          <w:sz w:val="20"/>
        </w:rPr>
        <w:t xml:space="preserve">Example: </w:t>
      </w:r>
      <w:r>
        <w:rPr>
          <w:i/>
          <w:color w:val="5A5A5A"/>
          <w:sz w:val="20"/>
        </w:rPr>
        <w:t>A $1,000,000 sale can net far less after a $200,000 loan payoff, $80,000 in advisor fees, and taxes.</w:t>
      </w:r>
    </w:p>
    <w:p>
      <w:pPr>
        <w:spacing w:before="240" w:after="80"/>
      </w:pPr>
      <w:r>
        <w:rPr>
          <w:rFonts w:ascii="Cambria" w:hAnsi="Cambria"/>
          <w:b/>
          <w:color w:val="8A6D1E"/>
          <w:sz w:val="22"/>
          <w:spacing w:val="30"/>
        </w:rPr>
        <w:t>WHO’S BUYING</w:t>
      </w:r>
    </w:p>
    <w:p>
      <w:pPr>
        <w:spacing w:before="60" w:after="60" w:line="252" w:lineRule="auto"/>
      </w:pPr>
      <w:r>
        <w:rPr>
          <w:b/>
          <w:color w:val="1F3864"/>
          <w:sz w:val="22"/>
        </w:rPr>
        <w:t>Strategic Buyer</w:t>
      </w:r>
      <w:r>
        <w:rPr>
          <w:sz w:val="22"/>
        </w:rPr>
        <w:t xml:space="preserve"> — a company in your industry buying for synergy.</w:t>
      </w:r>
    </w:p>
    <w:p>
      <w:pPr>
        <w:spacing w:before="60" w:after="60" w:line="252" w:lineRule="auto"/>
      </w:pPr>
      <w:r>
        <w:rPr>
          <w:b/>
          <w:color w:val="1F3864"/>
          <w:sz w:val="22"/>
        </w:rPr>
        <w:t>Financial Buyer</w:t>
      </w:r>
      <w:r>
        <w:rPr>
          <w:sz w:val="22"/>
        </w:rPr>
        <w:t xml:space="preserve"> — an investor buying primarily for financial return.</w:t>
      </w:r>
    </w:p>
    <w:p>
      <w:pPr>
        <w:spacing w:before="60" w:after="60" w:line="252" w:lineRule="auto"/>
      </w:pPr>
      <w:r>
        <w:rPr>
          <w:b/>
          <w:color w:val="1F3864"/>
          <w:sz w:val="22"/>
        </w:rPr>
        <w:t>Private Equity (PE)</w:t>
      </w:r>
      <w:r>
        <w:rPr>
          <w:sz w:val="22"/>
        </w:rPr>
        <w:t xml:space="preserve"> — firms that buy, grow, and later resell businesses.</w:t>
      </w:r>
    </w:p>
    <w:p>
      <w:pPr>
        <w:spacing w:before="60" w:after="60" w:line="252" w:lineRule="auto"/>
      </w:pPr>
      <w:r>
        <w:rPr>
          <w:b/>
          <w:color w:val="1F3864"/>
          <w:sz w:val="22"/>
        </w:rPr>
        <w:t>Search Fund / ETA (Entrepreneurship Through Acquisition)</w:t>
      </w:r>
      <w:r>
        <w:rPr>
          <w:sz w:val="22"/>
        </w:rPr>
        <w:t xml:space="preserve"> — an individual who raises money to buy and personally run one business.</w:t>
      </w:r>
    </w:p>
    <w:p>
      <w:pPr>
        <w:spacing w:before="60" w:after="60" w:line="252" w:lineRule="auto"/>
      </w:pPr>
      <w:r>
        <w:rPr>
          <w:b/>
          <w:color w:val="1F3864"/>
          <w:sz w:val="22"/>
        </w:rPr>
        <w:t>Roll-up / Platform / Add-on</w:t>
      </w:r>
      <w:r>
        <w:rPr>
          <w:sz w:val="22"/>
        </w:rPr>
        <w:t xml:space="preserve"> — a strategy of combining several small businesses into one larger one.</w:t>
      </w:r>
    </w:p>
    <w:p>
      <w:pPr>
        <w:spacing w:before="60" w:after="60" w:line="252" w:lineRule="auto"/>
      </w:pPr>
      <w:r>
        <w:rPr>
          <w:b/>
          <w:color w:val="1F3864"/>
          <w:sz w:val="22"/>
        </w:rPr>
        <w:t>Business Broker vs. M&amp;A Advisor</w:t>
      </w:r>
      <w:r>
        <w:rPr>
          <w:sz w:val="22"/>
        </w:rPr>
        <w:t xml:space="preserve"> — who typically sells smaller, Main-Street businesses versus larger, lower-middle-market ones.</w:t>
      </w:r>
    </w:p>
    <w:p>
      <w:pPr>
        <w:spacing w:before="240" w:after="80"/>
      </w:pPr>
      <w:r>
        <w:rPr>
          <w:rFonts w:ascii="Cambria" w:hAnsi="Cambria"/>
          <w:b/>
          <w:color w:val="8A6D1E"/>
          <w:sz w:val="22"/>
          <w:spacing w:val="30"/>
        </w:rPr>
        <w:t>EXIT &amp; OWNERSHIP</w:t>
      </w:r>
    </w:p>
    <w:p>
      <w:pPr>
        <w:spacing w:before="60" w:after="60" w:line="252" w:lineRule="auto"/>
      </w:pPr>
      <w:r>
        <w:rPr>
          <w:b/>
          <w:color w:val="1F3864"/>
          <w:sz w:val="22"/>
        </w:rPr>
        <w:t>Exit Planning</w:t>
      </w:r>
      <w:r>
        <w:rPr>
          <w:sz w:val="22"/>
        </w:rPr>
        <w:t xml:space="preserve"> — preparing your business and finances well ahead of a sale.</w:t>
      </w:r>
    </w:p>
    <w:p>
      <w:pPr>
        <w:spacing w:before="60" w:after="60" w:line="252" w:lineRule="auto"/>
      </w:pPr>
      <w:r>
        <w:rPr>
          <w:b/>
          <w:color w:val="1F3864"/>
          <w:sz w:val="22"/>
        </w:rPr>
        <w:t>Succession Planning</w:t>
      </w:r>
      <w:r>
        <w:rPr>
          <w:sz w:val="22"/>
        </w:rPr>
        <w:t xml:space="preserve"> — planning who takes over — family, management, or a new owner.</w:t>
      </w:r>
    </w:p>
    <w:p>
      <w:pPr>
        <w:spacing w:before="60" w:after="60" w:line="252" w:lineRule="auto"/>
      </w:pPr>
      <w:r>
        <w:rPr>
          <w:b/>
          <w:color w:val="1F3864"/>
          <w:sz w:val="22"/>
        </w:rPr>
        <w:t>Owner Dependence / Key-Person Risk</w:t>
      </w:r>
      <w:r>
        <w:rPr>
          <w:sz w:val="22"/>
        </w:rPr>
        <w:t xml:space="preserve"> — how much the business relies on you personally — the #1 value killer.</w:t>
      </w:r>
    </w:p>
    <w:p>
      <w:pPr>
        <w:spacing w:before="0" w:after="120" w:line="252" w:lineRule="auto"/>
        <w:ind w:left="280"/>
      </w:pPr>
      <w:r>
        <w:rPr>
          <w:b/>
          <w:i/>
          <w:color w:val="8A6D1E"/>
          <w:sz w:val="20"/>
        </w:rPr>
        <w:t xml:space="preserve">Example: </w:t>
      </w:r>
      <w:r>
        <w:rPr>
          <w:i/>
          <w:color w:val="5A5A5A"/>
          <w:sz w:val="20"/>
        </w:rPr>
        <w:t>If sales, key relationships, or know-how live only in your head, buyers see risk and lower the price.</w:t>
      </w:r>
    </w:p>
    <w:p>
      <w:pPr>
        <w:spacing w:before="60" w:after="60" w:line="252" w:lineRule="auto"/>
      </w:pPr>
      <w:r>
        <w:rPr>
          <w:b/>
          <w:color w:val="1F3864"/>
          <w:sz w:val="22"/>
        </w:rPr>
        <w:t>Customer Concentration</w:t>
      </w:r>
      <w:r>
        <w:rPr>
          <w:sz w:val="22"/>
        </w:rPr>
        <w:t xml:space="preserve"> — too much revenue tied to one or two customers — a discount to buyers.</w:t>
      </w:r>
    </w:p>
    <w:p>
      <w:pPr>
        <w:spacing w:before="0" w:after="120" w:line="252" w:lineRule="auto"/>
        <w:ind w:left="280"/>
      </w:pPr>
      <w:r>
        <w:rPr>
          <w:b/>
          <w:i/>
          <w:color w:val="8A6D1E"/>
          <w:sz w:val="20"/>
        </w:rPr>
        <w:t xml:space="preserve">Example: </w:t>
      </w:r>
      <w:r>
        <w:rPr>
          <w:i/>
          <w:color w:val="5A5A5A"/>
          <w:sz w:val="20"/>
        </w:rPr>
        <w:t>If one client is 40% of sales, a buyer worries what happens if they leave, and pays less.</w:t>
      </w:r>
    </w:p>
    <w:p>
      <w:pPr>
        <w:spacing w:before="60" w:after="60" w:line="252" w:lineRule="auto"/>
      </w:pPr>
      <w:r>
        <w:rPr>
          <w:b/>
          <w:color w:val="1F3864"/>
          <w:sz w:val="22"/>
        </w:rPr>
        <w:t>Transferability</w:t>
      </w:r>
      <w:r>
        <w:rPr>
          <w:sz w:val="22"/>
        </w:rPr>
        <w:t xml:space="preserve"> — how easily a new owner can step in and keep the business running.</w:t>
      </w:r>
    </w:p>
    <w:p>
      <w:pPr>
        <w:spacing w:before="60" w:after="60" w:line="252" w:lineRule="auto"/>
      </w:pPr>
      <w:r>
        <w:rPr>
          <w:b/>
          <w:color w:val="1F3864"/>
          <w:sz w:val="22"/>
        </w:rPr>
        <w:t>ESOP (Employee Stock Ownership Plan)</w:t>
      </w:r>
      <w:r>
        <w:rPr>
          <w:sz w:val="22"/>
        </w:rPr>
        <w:t xml:space="preserve"> — selling the business to your employees through a trust.</w:t>
      </w:r>
    </w:p>
    <w:p>
      <w:pPr>
        <w:spacing w:before="60" w:after="60" w:line="252" w:lineRule="auto"/>
      </w:pPr>
      <w:r>
        <w:rPr>
          <w:b/>
          <w:color w:val="1F3864"/>
          <w:sz w:val="22"/>
        </w:rPr>
        <w:t>MBO (Management Buyout)</w:t>
      </w:r>
      <w:r>
        <w:rPr>
          <w:sz w:val="22"/>
        </w:rPr>
        <w:t xml:space="preserve"> — your existing managers buy the business from you.</w:t>
      </w:r>
    </w:p>
    <w:p>
      <w:pPr>
        <w:spacing w:before="240" w:after="80"/>
      </w:pPr>
      <w:r>
        <w:rPr>
          <w:rFonts w:ascii="Cambria" w:hAnsi="Cambria"/>
          <w:b/>
          <w:color w:val="8A6D1E"/>
          <w:sz w:val="22"/>
          <w:spacing w:val="30"/>
        </w:rPr>
        <w:t>TAXES (HIGH LEVEL — TALK TO YOUR CPA)</w:t>
      </w:r>
    </w:p>
    <w:p>
      <w:pPr>
        <w:spacing w:before="60" w:after="60" w:line="252" w:lineRule="auto"/>
      </w:pPr>
      <w:r>
        <w:rPr>
          <w:b/>
          <w:color w:val="1F3864"/>
          <w:sz w:val="22"/>
        </w:rPr>
        <w:t>Capital Gains</w:t>
      </w:r>
      <w:r>
        <w:rPr>
          <w:sz w:val="22"/>
        </w:rPr>
        <w:t xml:space="preserve"> — the tax on the profit from selling your business.</w:t>
      </w:r>
    </w:p>
    <w:p>
      <w:pPr>
        <w:spacing w:before="60" w:after="60" w:line="252" w:lineRule="auto"/>
      </w:pPr>
      <w:r>
        <w:rPr>
          <w:b/>
          <w:color w:val="1F3864"/>
          <w:sz w:val="22"/>
        </w:rPr>
        <w:t>Purchase Price Allocation</w:t>
      </w:r>
      <w:r>
        <w:rPr>
          <w:sz w:val="22"/>
        </w:rPr>
        <w:t xml:space="preserve"> — how the sale price is split across asset categories — it affects both sides’ taxes.</w:t>
      </w:r>
    </w:p>
    <w:p>
      <w:pPr>
        <w:spacing w:before="60" w:after="60" w:line="252" w:lineRule="auto"/>
      </w:pPr>
      <w:r>
        <w:rPr>
          <w:b/>
          <w:color w:val="1F3864"/>
          <w:sz w:val="22"/>
        </w:rPr>
        <w:t>Installment Sale</w:t>
      </w:r>
      <w:r>
        <w:rPr>
          <w:sz w:val="22"/>
        </w:rPr>
        <w:t xml:space="preserve"> — spreading the payments (and the tax) over multiple years.</w:t>
      </w:r>
    </w:p>
    <w:p>
      <w:pPr>
        <w:spacing w:before="280" w:after="0" w:line="276" w:lineRule="auto"/>
      </w:pPr>
      <w:r>
        <w:rPr>
          <w:i/>
          <w:color w:val="5A5A5A"/>
          <w:sz w:val="19"/>
        </w:rPr>
        <w:t>This glossary is for general education only — not legal, tax, or financial advice. When you’re ready to put it to work, Sunland Advisory LLC can help you prepare your business, understand your options, and connect you with the right professionals.  grow@sunlandadvisory.com  ·  830-832-0677</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drawing>
        <wp:inline xmlns:a="http://schemas.openxmlformats.org/drawingml/2006/main" xmlns:pic="http://schemas.openxmlformats.org/drawingml/2006/picture">
          <wp:extent cx="1188720" cy="227498"/>
          <wp:docPr id="1" name="Picture 1"/>
          <wp:cNvGraphicFramePr>
            <a:graphicFrameLocks noChangeAspect="1"/>
          </wp:cNvGraphicFramePr>
          <a:graphic>
            <a:graphicData uri="http://schemas.openxmlformats.org/drawingml/2006/picture">
              <pic:pic>
                <pic:nvPicPr>
                  <pic:cNvPr id="0" name="jv-logo.png"/>
                  <pic:cNvPicPr/>
                </pic:nvPicPr>
                <pic:blipFill>
                  <a:blip r:embed="rId1"/>
                  <a:stretch>
                    <a:fillRect/>
                  </a:stretch>
                </pic:blipFill>
                <pic:spPr>
                  <a:xfrm>
                    <a:off x="0" y="0"/>
                    <a:ext cx="1188720" cy="227498"/>
                  </a:xfrm>
                  <a:prstGeom prst="rect"/>
                </pic:spPr>
              </pic:pic>
            </a:graphicData>
          </a:graphic>
        </wp:inline>
      </w:drawing>
    </w:r>
  </w:p>
  <w:p>
    <w:pPr>
      <w:jc w:val="center"/>
    </w:pPr>
    <w:r>
      <w:rPr>
        <w:i/>
        <w:color w:val="777777"/>
        <w:sz w:val="16"/>
      </w:rPr>
      <w:t>Provided by Sunland Advisory LLC   ·   grow@sunlandadvisory.com   ·   830-832-0677</w:t>
    </w:r>
  </w:p>
  <w:p>
    <w:pPr>
      <w:jc w:val="center"/>
    </w:pPr>
    <w:r>
      <w:rPr>
        <w:i/>
        <w:color w:val="8A8A8A"/>
        <w:sz w:val="15"/>
      </w:rPr>
      <w:t>© 2026 Sunland Advisory LLC. All rights reserved. Provided for the recipient’s own business use. It may not be copied, resold, redistributed, or shared with third parties without the express written consent of Sunland Advisory LLC.</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